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A9C3A">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方正小标宋简体" w:hAnsi="方正小标宋简体" w:eastAsia="方正小标宋简体" w:cs="方正小标宋简体"/>
          <w:b w:val="0"/>
          <w:bCs w:val="0"/>
          <w:color w:val="000000"/>
          <w:sz w:val="32"/>
          <w:szCs w:val="32"/>
        </w:rPr>
      </w:pPr>
      <w:r>
        <w:rPr>
          <w:rFonts w:hint="default" w:ascii="Times New Roman" w:hAnsi="Times New Roman" w:eastAsia="方正小标宋简体" w:cs="Times New Roman"/>
          <w:b/>
          <w:bCs/>
          <w:color w:val="000000"/>
          <w:sz w:val="32"/>
          <w:szCs w:val="32"/>
        </w:rPr>
        <w:t>2026</w:t>
      </w:r>
      <w:r>
        <w:rPr>
          <w:rFonts w:hint="eastAsia" w:ascii="方正小标宋简体" w:hAnsi="方正小标宋简体" w:eastAsia="方正小标宋简体" w:cs="方正小标宋简体"/>
          <w:b w:val="0"/>
          <w:bCs w:val="0"/>
          <w:color w:val="000000"/>
          <w:sz w:val="32"/>
          <w:szCs w:val="32"/>
        </w:rPr>
        <w:t>年北京市读写台灯产品质量监督抽查实施细则</w:t>
      </w:r>
    </w:p>
    <w:p w14:paraId="7C77715A">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46456F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6793841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161F99B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78D87C3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抽样基数满足抽样数量即可，对于读写台灯，抽取3只，其中2只为检验用样品，另1只为备用样品。</w:t>
      </w:r>
    </w:p>
    <w:p w14:paraId="3962FD9D">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bookmarkStart w:id="0" w:name="_GoBack"/>
      <w:bookmarkEnd w:id="0"/>
    </w:p>
    <w:p w14:paraId="4352935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lang w:val="en-US" w:eastAsia="zh-CN"/>
        </w:rPr>
      </w:pPr>
      <w:r>
        <w:rPr>
          <w:rFonts w:hint="eastAsia" w:ascii="Times New Roman" w:hAnsi="Times New Roman" w:eastAsia="黑体" w:cs="黑体"/>
          <w:sz w:val="22"/>
          <w:szCs w:val="28"/>
          <w:lang w:val="en-US" w:eastAsia="zh-CN"/>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0" w:type="dxa"/>
          <w:right w:w="108" w:type="dxa"/>
        </w:tblCellMar>
      </w:tblPr>
      <w:tblGrid>
        <w:gridCol w:w="791"/>
        <w:gridCol w:w="1275"/>
        <w:gridCol w:w="2580"/>
        <w:gridCol w:w="2221"/>
        <w:gridCol w:w="2162"/>
      </w:tblGrid>
      <w:tr w14:paraId="2F1DE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568" w:hRule="atLeast"/>
          <w:tblHeader/>
          <w:jc w:val="center"/>
        </w:trPr>
        <w:tc>
          <w:tcPr>
            <w:tcW w:w="791" w:type="dxa"/>
            <w:noWrap w:val="0"/>
            <w:vAlign w:val="center"/>
          </w:tcPr>
          <w:p w14:paraId="5C4018E3">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序号</w:t>
            </w:r>
          </w:p>
        </w:tc>
        <w:tc>
          <w:tcPr>
            <w:tcW w:w="3855" w:type="dxa"/>
            <w:gridSpan w:val="2"/>
            <w:noWrap w:val="0"/>
            <w:vAlign w:val="center"/>
          </w:tcPr>
          <w:p w14:paraId="388EE65F">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检验项目</w:t>
            </w:r>
          </w:p>
        </w:tc>
        <w:tc>
          <w:tcPr>
            <w:tcW w:w="2221" w:type="dxa"/>
            <w:noWrap w:val="0"/>
            <w:vAlign w:val="center"/>
          </w:tcPr>
          <w:p w14:paraId="2086DD84">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检验依据</w:t>
            </w:r>
          </w:p>
        </w:tc>
        <w:tc>
          <w:tcPr>
            <w:tcW w:w="2162" w:type="dxa"/>
            <w:noWrap w:val="0"/>
            <w:vAlign w:val="center"/>
          </w:tcPr>
          <w:p w14:paraId="6F9F8AB6">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检验方法</w:t>
            </w:r>
          </w:p>
        </w:tc>
      </w:tr>
      <w:tr w14:paraId="2096C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791" w:type="dxa"/>
            <w:vMerge w:val="restart"/>
            <w:noWrap w:val="0"/>
            <w:vAlign w:val="center"/>
          </w:tcPr>
          <w:p w14:paraId="6BDEAB11">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1</w:t>
            </w:r>
          </w:p>
        </w:tc>
        <w:tc>
          <w:tcPr>
            <w:tcW w:w="1275" w:type="dxa"/>
            <w:vMerge w:val="restart"/>
            <w:noWrap w:val="0"/>
            <w:vAlign w:val="center"/>
          </w:tcPr>
          <w:p w14:paraId="48F6FAC3">
            <w:pPr>
              <w:jc w:val="center"/>
              <w:rPr>
                <w:rFonts w:hint="default" w:ascii="Times New Roman" w:hAnsi="Times New Roman" w:cs="Times New Roman"/>
                <w:kern w:val="0"/>
                <w:szCs w:val="21"/>
              </w:rPr>
            </w:pPr>
            <w:r>
              <w:rPr>
                <w:rFonts w:hint="default" w:ascii="Times New Roman" w:hAnsi="Times New Roman" w:cs="Times New Roman"/>
                <w:kern w:val="0"/>
                <w:szCs w:val="21"/>
              </w:rPr>
              <w:t>结构</w:t>
            </w:r>
          </w:p>
        </w:tc>
        <w:tc>
          <w:tcPr>
            <w:tcW w:w="2580" w:type="dxa"/>
            <w:noWrap w:val="0"/>
            <w:vAlign w:val="center"/>
          </w:tcPr>
          <w:p w14:paraId="4632E199">
            <w:pPr>
              <w:snapToGrid w:val="0"/>
              <w:jc w:val="center"/>
              <w:rPr>
                <w:rFonts w:hint="default" w:ascii="Times New Roman" w:hAnsi="Times New Roman" w:cs="Times New Roman"/>
                <w:kern w:val="0"/>
                <w:szCs w:val="21"/>
                <w:highlight w:val="yellow"/>
              </w:rPr>
            </w:pPr>
            <w:r>
              <w:rPr>
                <w:rFonts w:hint="default" w:ascii="Times New Roman" w:hAnsi="Times New Roman" w:cs="Times New Roman"/>
                <w:kern w:val="0"/>
                <w:szCs w:val="21"/>
              </w:rPr>
              <w:t>走线槽</w:t>
            </w:r>
          </w:p>
        </w:tc>
        <w:tc>
          <w:tcPr>
            <w:tcW w:w="2221" w:type="dxa"/>
            <w:vMerge w:val="restart"/>
            <w:noWrap w:val="0"/>
            <w:vAlign w:val="center"/>
          </w:tcPr>
          <w:p w14:paraId="206E86E1">
            <w:pPr>
              <w:snapToGrid w:val="0"/>
              <w:jc w:val="center"/>
              <w:rPr>
                <w:rFonts w:hint="default" w:ascii="Times New Roman" w:hAnsi="Times New Roman" w:cs="Times New Roman"/>
                <w:szCs w:val="21"/>
              </w:rPr>
            </w:pPr>
            <w:r>
              <w:rPr>
                <w:rFonts w:hint="default" w:ascii="Times New Roman" w:hAnsi="Times New Roman" w:cs="Times New Roman"/>
                <w:szCs w:val="21"/>
              </w:rPr>
              <w:t>GB/T 7000.1—2023</w:t>
            </w:r>
          </w:p>
          <w:p w14:paraId="7F6C2AD4">
            <w:pPr>
              <w:snapToGrid w:val="0"/>
              <w:jc w:val="center"/>
              <w:rPr>
                <w:rFonts w:hint="default" w:ascii="Times New Roman" w:hAnsi="Times New Roman" w:cs="Times New Roman"/>
                <w:szCs w:val="21"/>
              </w:rPr>
            </w:pPr>
            <w:r>
              <w:rPr>
                <w:rFonts w:hint="default" w:ascii="Times New Roman" w:hAnsi="Times New Roman" w:cs="Times New Roman"/>
                <w:szCs w:val="21"/>
              </w:rPr>
              <w:t>GB/T 7000.204—2023</w:t>
            </w:r>
          </w:p>
        </w:tc>
        <w:tc>
          <w:tcPr>
            <w:tcW w:w="2162" w:type="dxa"/>
            <w:vMerge w:val="restart"/>
            <w:noWrap w:val="0"/>
            <w:vAlign w:val="center"/>
          </w:tcPr>
          <w:p w14:paraId="3804E77A">
            <w:pPr>
              <w:snapToGrid w:val="0"/>
              <w:jc w:val="center"/>
              <w:rPr>
                <w:rFonts w:hint="default" w:ascii="Times New Roman" w:hAnsi="Times New Roman" w:cs="Times New Roman"/>
                <w:szCs w:val="21"/>
              </w:rPr>
            </w:pPr>
            <w:r>
              <w:rPr>
                <w:rFonts w:hint="default" w:ascii="Times New Roman" w:hAnsi="Times New Roman" w:cs="Times New Roman"/>
                <w:szCs w:val="21"/>
              </w:rPr>
              <w:t>GB/T 7000.1—2023</w:t>
            </w:r>
          </w:p>
          <w:p w14:paraId="7CB30B59">
            <w:pPr>
              <w:snapToGrid w:val="0"/>
              <w:jc w:val="center"/>
              <w:rPr>
                <w:rFonts w:hint="default" w:ascii="Times New Roman" w:hAnsi="Times New Roman" w:cs="Times New Roman"/>
                <w:szCs w:val="21"/>
              </w:rPr>
            </w:pPr>
            <w:r>
              <w:rPr>
                <w:rFonts w:hint="default" w:ascii="Times New Roman" w:hAnsi="Times New Roman" w:cs="Times New Roman"/>
                <w:szCs w:val="21"/>
              </w:rPr>
              <w:t>GB/T 7000.204—2023</w:t>
            </w:r>
          </w:p>
        </w:tc>
      </w:tr>
      <w:tr w14:paraId="05ABB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791" w:type="dxa"/>
            <w:vMerge w:val="continue"/>
            <w:noWrap w:val="0"/>
            <w:vAlign w:val="center"/>
          </w:tcPr>
          <w:p w14:paraId="25742BA8">
            <w:pPr>
              <w:snapToGrid w:val="0"/>
              <w:jc w:val="center"/>
              <w:rPr>
                <w:rFonts w:hint="default" w:ascii="Times New Roman" w:hAnsi="Times New Roman" w:cs="Times New Roman"/>
                <w:color w:val="000000"/>
                <w:szCs w:val="21"/>
              </w:rPr>
            </w:pPr>
          </w:p>
        </w:tc>
        <w:tc>
          <w:tcPr>
            <w:tcW w:w="1275" w:type="dxa"/>
            <w:vMerge w:val="continue"/>
            <w:noWrap w:val="0"/>
            <w:vAlign w:val="center"/>
          </w:tcPr>
          <w:p w14:paraId="3630C5CA">
            <w:pPr>
              <w:jc w:val="center"/>
              <w:rPr>
                <w:rFonts w:hint="default" w:ascii="Times New Roman" w:hAnsi="Times New Roman" w:cs="Times New Roman"/>
                <w:kern w:val="0"/>
                <w:szCs w:val="21"/>
              </w:rPr>
            </w:pPr>
          </w:p>
        </w:tc>
        <w:tc>
          <w:tcPr>
            <w:tcW w:w="2580" w:type="dxa"/>
            <w:noWrap w:val="0"/>
            <w:vAlign w:val="center"/>
          </w:tcPr>
          <w:p w14:paraId="31FA0CE4">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带有不可替换光源的灯具</w:t>
            </w:r>
          </w:p>
        </w:tc>
        <w:tc>
          <w:tcPr>
            <w:tcW w:w="2221" w:type="dxa"/>
            <w:vMerge w:val="continue"/>
            <w:noWrap w:val="0"/>
            <w:vAlign w:val="center"/>
          </w:tcPr>
          <w:p w14:paraId="3FD75642">
            <w:pPr>
              <w:jc w:val="center"/>
              <w:rPr>
                <w:rFonts w:hint="default" w:ascii="Times New Roman" w:hAnsi="Times New Roman" w:cs="Times New Roman"/>
                <w:szCs w:val="21"/>
              </w:rPr>
            </w:pPr>
          </w:p>
        </w:tc>
        <w:tc>
          <w:tcPr>
            <w:tcW w:w="2162" w:type="dxa"/>
            <w:vMerge w:val="continue"/>
            <w:noWrap w:val="0"/>
            <w:vAlign w:val="center"/>
          </w:tcPr>
          <w:p w14:paraId="40189839">
            <w:pPr>
              <w:jc w:val="center"/>
              <w:rPr>
                <w:rFonts w:hint="default" w:ascii="Times New Roman" w:hAnsi="Times New Roman" w:cs="Times New Roman"/>
                <w:szCs w:val="21"/>
              </w:rPr>
            </w:pPr>
          </w:p>
        </w:tc>
      </w:tr>
      <w:tr w14:paraId="7DD52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179" w:hRule="atLeast"/>
          <w:jc w:val="center"/>
        </w:trPr>
        <w:tc>
          <w:tcPr>
            <w:tcW w:w="791" w:type="dxa"/>
            <w:vMerge w:val="continue"/>
            <w:noWrap w:val="0"/>
            <w:vAlign w:val="center"/>
          </w:tcPr>
          <w:p w14:paraId="780AEA0E">
            <w:pPr>
              <w:snapToGrid w:val="0"/>
              <w:jc w:val="center"/>
              <w:rPr>
                <w:rFonts w:hint="default" w:ascii="Times New Roman" w:hAnsi="Times New Roman" w:cs="Times New Roman"/>
                <w:color w:val="000000"/>
                <w:szCs w:val="21"/>
              </w:rPr>
            </w:pPr>
          </w:p>
        </w:tc>
        <w:tc>
          <w:tcPr>
            <w:tcW w:w="1275" w:type="dxa"/>
            <w:vMerge w:val="continue"/>
            <w:noWrap w:val="0"/>
            <w:vAlign w:val="center"/>
          </w:tcPr>
          <w:p w14:paraId="033FD080">
            <w:pPr>
              <w:jc w:val="center"/>
              <w:rPr>
                <w:rFonts w:hint="default" w:ascii="Times New Roman" w:hAnsi="Times New Roman" w:cs="Times New Roman"/>
                <w:kern w:val="0"/>
                <w:szCs w:val="21"/>
              </w:rPr>
            </w:pPr>
          </w:p>
        </w:tc>
        <w:tc>
          <w:tcPr>
            <w:tcW w:w="2580" w:type="dxa"/>
            <w:noWrap w:val="0"/>
            <w:vAlign w:val="center"/>
          </w:tcPr>
          <w:p w14:paraId="796F9B74">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带有非用户替换光源的灯具</w:t>
            </w:r>
          </w:p>
        </w:tc>
        <w:tc>
          <w:tcPr>
            <w:tcW w:w="2221" w:type="dxa"/>
            <w:vMerge w:val="continue"/>
            <w:noWrap w:val="0"/>
            <w:vAlign w:val="center"/>
          </w:tcPr>
          <w:p w14:paraId="37203004">
            <w:pPr>
              <w:jc w:val="center"/>
              <w:rPr>
                <w:rFonts w:hint="default" w:ascii="Times New Roman" w:hAnsi="Times New Roman" w:cs="Times New Roman"/>
                <w:szCs w:val="21"/>
              </w:rPr>
            </w:pPr>
          </w:p>
        </w:tc>
        <w:tc>
          <w:tcPr>
            <w:tcW w:w="2162" w:type="dxa"/>
            <w:vMerge w:val="continue"/>
            <w:noWrap w:val="0"/>
            <w:vAlign w:val="center"/>
          </w:tcPr>
          <w:p w14:paraId="492A8496">
            <w:pPr>
              <w:jc w:val="center"/>
              <w:rPr>
                <w:rFonts w:hint="default" w:ascii="Times New Roman" w:hAnsi="Times New Roman" w:cs="Times New Roman"/>
                <w:szCs w:val="21"/>
              </w:rPr>
            </w:pPr>
          </w:p>
        </w:tc>
      </w:tr>
      <w:tr w14:paraId="3DEEB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179" w:hRule="atLeast"/>
          <w:jc w:val="center"/>
        </w:trPr>
        <w:tc>
          <w:tcPr>
            <w:tcW w:w="791" w:type="dxa"/>
            <w:vMerge w:val="continue"/>
            <w:noWrap w:val="0"/>
            <w:vAlign w:val="center"/>
          </w:tcPr>
          <w:p w14:paraId="4E29975F">
            <w:pPr>
              <w:snapToGrid w:val="0"/>
              <w:jc w:val="center"/>
              <w:rPr>
                <w:rFonts w:hint="default" w:ascii="Times New Roman" w:hAnsi="Times New Roman" w:cs="Times New Roman"/>
              </w:rPr>
            </w:pPr>
          </w:p>
        </w:tc>
        <w:tc>
          <w:tcPr>
            <w:tcW w:w="1275" w:type="dxa"/>
            <w:vMerge w:val="continue"/>
            <w:noWrap w:val="0"/>
            <w:vAlign w:val="center"/>
          </w:tcPr>
          <w:p w14:paraId="147CA5E0">
            <w:pPr>
              <w:snapToGrid w:val="0"/>
              <w:jc w:val="center"/>
              <w:rPr>
                <w:rFonts w:hint="default" w:ascii="Times New Roman" w:hAnsi="Times New Roman" w:cs="Times New Roman"/>
              </w:rPr>
            </w:pPr>
          </w:p>
        </w:tc>
        <w:tc>
          <w:tcPr>
            <w:tcW w:w="2580" w:type="dxa"/>
            <w:noWrap w:val="0"/>
            <w:vAlign w:val="center"/>
          </w:tcPr>
          <w:p w14:paraId="72D3A7A5">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平稳度</w:t>
            </w:r>
          </w:p>
        </w:tc>
        <w:tc>
          <w:tcPr>
            <w:tcW w:w="2221" w:type="dxa"/>
            <w:vMerge w:val="continue"/>
            <w:noWrap w:val="0"/>
            <w:vAlign w:val="center"/>
          </w:tcPr>
          <w:p w14:paraId="4CA2C023">
            <w:pPr>
              <w:snapToGrid w:val="0"/>
              <w:jc w:val="center"/>
              <w:rPr>
                <w:rFonts w:hint="default" w:ascii="Times New Roman" w:hAnsi="Times New Roman" w:cs="Times New Roman"/>
                <w:kern w:val="0"/>
                <w:szCs w:val="21"/>
              </w:rPr>
            </w:pPr>
          </w:p>
        </w:tc>
        <w:tc>
          <w:tcPr>
            <w:tcW w:w="2162" w:type="dxa"/>
            <w:vMerge w:val="continue"/>
            <w:noWrap w:val="0"/>
            <w:vAlign w:val="center"/>
          </w:tcPr>
          <w:p w14:paraId="01BE2108">
            <w:pPr>
              <w:snapToGrid w:val="0"/>
              <w:jc w:val="center"/>
              <w:rPr>
                <w:rFonts w:hint="default" w:ascii="Times New Roman" w:hAnsi="Times New Roman" w:cs="Times New Roman"/>
                <w:kern w:val="0"/>
                <w:szCs w:val="21"/>
              </w:rPr>
            </w:pPr>
          </w:p>
        </w:tc>
      </w:tr>
      <w:tr w14:paraId="1006B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791" w:type="dxa"/>
            <w:vMerge w:val="restart"/>
            <w:noWrap w:val="0"/>
            <w:vAlign w:val="center"/>
          </w:tcPr>
          <w:p w14:paraId="41A5D218">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2</w:t>
            </w:r>
          </w:p>
        </w:tc>
        <w:tc>
          <w:tcPr>
            <w:tcW w:w="1275" w:type="dxa"/>
            <w:vMerge w:val="restart"/>
            <w:noWrap w:val="0"/>
            <w:vAlign w:val="center"/>
          </w:tcPr>
          <w:p w14:paraId="2DCC5D67">
            <w:pPr>
              <w:widowControl/>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外部接线和内部接线</w:t>
            </w:r>
          </w:p>
        </w:tc>
        <w:tc>
          <w:tcPr>
            <w:tcW w:w="2580" w:type="dxa"/>
            <w:noWrap w:val="0"/>
            <w:vAlign w:val="center"/>
          </w:tcPr>
          <w:p w14:paraId="61CE6E12">
            <w:pPr>
              <w:jc w:val="center"/>
              <w:rPr>
                <w:rFonts w:hint="default" w:ascii="Times New Roman" w:hAnsi="Times New Roman" w:cs="Times New Roman"/>
                <w:kern w:val="0"/>
                <w:szCs w:val="21"/>
              </w:rPr>
            </w:pPr>
            <w:r>
              <w:rPr>
                <w:rFonts w:hint="default" w:ascii="Times New Roman" w:hAnsi="Times New Roman" w:cs="Times New Roman"/>
                <w:kern w:val="0"/>
                <w:szCs w:val="21"/>
              </w:rPr>
              <w:t>电源连接方法</w:t>
            </w:r>
          </w:p>
        </w:tc>
        <w:tc>
          <w:tcPr>
            <w:tcW w:w="2221" w:type="dxa"/>
            <w:vMerge w:val="restart"/>
            <w:noWrap w:val="0"/>
            <w:vAlign w:val="center"/>
          </w:tcPr>
          <w:p w14:paraId="235C36CF">
            <w:pPr>
              <w:snapToGrid w:val="0"/>
              <w:jc w:val="center"/>
              <w:rPr>
                <w:rFonts w:hint="default" w:ascii="Times New Roman" w:hAnsi="Times New Roman" w:cs="Times New Roman"/>
                <w:szCs w:val="21"/>
              </w:rPr>
            </w:pPr>
            <w:r>
              <w:rPr>
                <w:rFonts w:hint="default" w:ascii="Times New Roman" w:hAnsi="Times New Roman" w:cs="Times New Roman"/>
                <w:szCs w:val="21"/>
              </w:rPr>
              <w:t>GB/T 7000.1—2023</w:t>
            </w:r>
          </w:p>
          <w:p w14:paraId="7779E8D9">
            <w:pPr>
              <w:snapToGrid w:val="0"/>
              <w:jc w:val="center"/>
              <w:rPr>
                <w:rFonts w:hint="default" w:ascii="Times New Roman" w:hAnsi="Times New Roman" w:cs="Times New Roman"/>
                <w:szCs w:val="21"/>
              </w:rPr>
            </w:pPr>
            <w:r>
              <w:rPr>
                <w:rFonts w:hint="default" w:ascii="Times New Roman" w:hAnsi="Times New Roman" w:cs="Times New Roman"/>
                <w:szCs w:val="21"/>
              </w:rPr>
              <w:t>GB/T 7000.204—2023</w:t>
            </w:r>
          </w:p>
        </w:tc>
        <w:tc>
          <w:tcPr>
            <w:tcW w:w="2162" w:type="dxa"/>
            <w:vMerge w:val="restart"/>
            <w:noWrap w:val="0"/>
            <w:vAlign w:val="center"/>
          </w:tcPr>
          <w:p w14:paraId="4A2B522D">
            <w:pPr>
              <w:snapToGrid w:val="0"/>
              <w:jc w:val="center"/>
              <w:rPr>
                <w:rFonts w:hint="default" w:ascii="Times New Roman" w:hAnsi="Times New Roman" w:cs="Times New Roman"/>
                <w:szCs w:val="21"/>
              </w:rPr>
            </w:pPr>
            <w:r>
              <w:rPr>
                <w:rFonts w:hint="default" w:ascii="Times New Roman" w:hAnsi="Times New Roman" w:cs="Times New Roman"/>
                <w:szCs w:val="21"/>
              </w:rPr>
              <w:t>GB/T 7000.1—2023</w:t>
            </w:r>
          </w:p>
          <w:p w14:paraId="2D7A007B">
            <w:pPr>
              <w:snapToGrid w:val="0"/>
              <w:jc w:val="center"/>
              <w:rPr>
                <w:rFonts w:hint="default" w:ascii="Times New Roman" w:hAnsi="Times New Roman" w:cs="Times New Roman"/>
                <w:szCs w:val="21"/>
              </w:rPr>
            </w:pPr>
            <w:r>
              <w:rPr>
                <w:rFonts w:hint="default" w:ascii="Times New Roman" w:hAnsi="Times New Roman" w:cs="Times New Roman"/>
                <w:szCs w:val="21"/>
              </w:rPr>
              <w:t>GB/T 7000.204—2023</w:t>
            </w:r>
          </w:p>
        </w:tc>
      </w:tr>
      <w:tr w14:paraId="4D605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58" w:hRule="atLeast"/>
          <w:jc w:val="center"/>
        </w:trPr>
        <w:tc>
          <w:tcPr>
            <w:tcW w:w="791" w:type="dxa"/>
            <w:vMerge w:val="continue"/>
            <w:noWrap w:val="0"/>
            <w:vAlign w:val="center"/>
          </w:tcPr>
          <w:p w14:paraId="41B79E4A">
            <w:pPr>
              <w:snapToGrid w:val="0"/>
              <w:jc w:val="center"/>
              <w:rPr>
                <w:rFonts w:hint="default" w:ascii="Times New Roman" w:hAnsi="Times New Roman" w:cs="Times New Roman"/>
                <w:color w:val="000000"/>
                <w:szCs w:val="21"/>
              </w:rPr>
            </w:pPr>
          </w:p>
        </w:tc>
        <w:tc>
          <w:tcPr>
            <w:tcW w:w="1275" w:type="dxa"/>
            <w:vMerge w:val="continue"/>
            <w:noWrap w:val="0"/>
            <w:vAlign w:val="center"/>
          </w:tcPr>
          <w:p w14:paraId="270F3B9E">
            <w:pPr>
              <w:jc w:val="center"/>
              <w:rPr>
                <w:rFonts w:hint="default" w:ascii="Times New Roman" w:hAnsi="Times New Roman" w:cs="Times New Roman"/>
                <w:kern w:val="0"/>
                <w:szCs w:val="21"/>
              </w:rPr>
            </w:pPr>
          </w:p>
        </w:tc>
        <w:tc>
          <w:tcPr>
            <w:tcW w:w="2580" w:type="dxa"/>
            <w:noWrap w:val="0"/>
            <w:vAlign w:val="center"/>
          </w:tcPr>
          <w:p w14:paraId="3487B0E5">
            <w:pPr>
              <w:jc w:val="center"/>
              <w:rPr>
                <w:rFonts w:hint="default" w:ascii="Times New Roman" w:hAnsi="Times New Roman" w:cs="Times New Roman"/>
                <w:kern w:val="0"/>
                <w:szCs w:val="21"/>
              </w:rPr>
            </w:pPr>
            <w:r>
              <w:rPr>
                <w:rFonts w:hint="default" w:ascii="Times New Roman" w:hAnsi="Times New Roman" w:cs="Times New Roman"/>
                <w:kern w:val="0"/>
                <w:szCs w:val="21"/>
              </w:rPr>
              <w:t>软线固定架</w:t>
            </w:r>
          </w:p>
        </w:tc>
        <w:tc>
          <w:tcPr>
            <w:tcW w:w="2221" w:type="dxa"/>
            <w:vMerge w:val="continue"/>
            <w:noWrap w:val="0"/>
            <w:vAlign w:val="center"/>
          </w:tcPr>
          <w:p w14:paraId="2151D8C7">
            <w:pPr>
              <w:snapToGrid w:val="0"/>
              <w:jc w:val="center"/>
              <w:rPr>
                <w:rFonts w:hint="default" w:ascii="Times New Roman" w:hAnsi="Times New Roman" w:cs="Times New Roman"/>
                <w:szCs w:val="21"/>
              </w:rPr>
            </w:pPr>
          </w:p>
        </w:tc>
        <w:tc>
          <w:tcPr>
            <w:tcW w:w="2162" w:type="dxa"/>
            <w:vMerge w:val="continue"/>
            <w:noWrap w:val="0"/>
            <w:vAlign w:val="center"/>
          </w:tcPr>
          <w:p w14:paraId="1C56F02F">
            <w:pPr>
              <w:snapToGrid w:val="0"/>
              <w:jc w:val="center"/>
              <w:rPr>
                <w:rFonts w:hint="default" w:ascii="Times New Roman" w:hAnsi="Times New Roman" w:cs="Times New Roman"/>
                <w:szCs w:val="21"/>
              </w:rPr>
            </w:pPr>
          </w:p>
        </w:tc>
      </w:tr>
      <w:tr w14:paraId="4F256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791" w:type="dxa"/>
            <w:noWrap w:val="0"/>
            <w:vAlign w:val="center"/>
          </w:tcPr>
          <w:p w14:paraId="580BE295">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3</w:t>
            </w:r>
          </w:p>
        </w:tc>
        <w:tc>
          <w:tcPr>
            <w:tcW w:w="3855" w:type="dxa"/>
            <w:gridSpan w:val="2"/>
            <w:noWrap w:val="0"/>
            <w:vAlign w:val="center"/>
          </w:tcPr>
          <w:p w14:paraId="7F729D7D">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防触电保护</w:t>
            </w:r>
          </w:p>
        </w:tc>
        <w:tc>
          <w:tcPr>
            <w:tcW w:w="2221" w:type="dxa"/>
            <w:noWrap w:val="0"/>
            <w:vAlign w:val="center"/>
          </w:tcPr>
          <w:p w14:paraId="08D5BEEA">
            <w:pPr>
              <w:snapToGrid w:val="0"/>
              <w:jc w:val="center"/>
              <w:rPr>
                <w:rFonts w:hint="default" w:ascii="Times New Roman" w:hAnsi="Times New Roman" w:cs="Times New Roman"/>
                <w:szCs w:val="21"/>
              </w:rPr>
            </w:pPr>
            <w:r>
              <w:rPr>
                <w:rFonts w:hint="default" w:ascii="Times New Roman" w:hAnsi="Times New Roman" w:cs="Times New Roman"/>
                <w:szCs w:val="21"/>
              </w:rPr>
              <w:t>GB/T 7000.1—2023</w:t>
            </w:r>
          </w:p>
          <w:p w14:paraId="11567091">
            <w:pPr>
              <w:snapToGrid w:val="0"/>
              <w:jc w:val="center"/>
              <w:rPr>
                <w:rFonts w:hint="default" w:ascii="Times New Roman" w:hAnsi="Times New Roman" w:cs="Times New Roman"/>
                <w:szCs w:val="21"/>
              </w:rPr>
            </w:pPr>
            <w:r>
              <w:rPr>
                <w:rFonts w:hint="default" w:ascii="Times New Roman" w:hAnsi="Times New Roman" w:cs="Times New Roman"/>
                <w:szCs w:val="21"/>
              </w:rPr>
              <w:t>GB/T 7000.204—2023</w:t>
            </w:r>
          </w:p>
        </w:tc>
        <w:tc>
          <w:tcPr>
            <w:tcW w:w="2162" w:type="dxa"/>
            <w:noWrap w:val="0"/>
            <w:vAlign w:val="center"/>
          </w:tcPr>
          <w:p w14:paraId="6D03E1DB">
            <w:pPr>
              <w:snapToGrid w:val="0"/>
              <w:jc w:val="center"/>
              <w:rPr>
                <w:rFonts w:hint="default" w:ascii="Times New Roman" w:hAnsi="Times New Roman" w:cs="Times New Roman"/>
                <w:szCs w:val="21"/>
              </w:rPr>
            </w:pPr>
            <w:r>
              <w:rPr>
                <w:rFonts w:hint="default" w:ascii="Times New Roman" w:hAnsi="Times New Roman" w:cs="Times New Roman"/>
                <w:szCs w:val="21"/>
              </w:rPr>
              <w:t>GB/T 7000.1—2023</w:t>
            </w:r>
          </w:p>
          <w:p w14:paraId="56F6E9BC">
            <w:pPr>
              <w:snapToGrid w:val="0"/>
              <w:jc w:val="center"/>
              <w:rPr>
                <w:rFonts w:hint="default" w:ascii="Times New Roman" w:hAnsi="Times New Roman" w:cs="Times New Roman"/>
                <w:szCs w:val="21"/>
              </w:rPr>
            </w:pPr>
            <w:r>
              <w:rPr>
                <w:rFonts w:hint="default" w:ascii="Times New Roman" w:hAnsi="Times New Roman" w:cs="Times New Roman"/>
                <w:szCs w:val="21"/>
              </w:rPr>
              <w:t>GB/T 7000.204—2023</w:t>
            </w:r>
          </w:p>
        </w:tc>
      </w:tr>
      <w:tr w14:paraId="6A1A0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791" w:type="dxa"/>
            <w:noWrap w:val="0"/>
            <w:vAlign w:val="center"/>
          </w:tcPr>
          <w:p w14:paraId="01AB1179">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4</w:t>
            </w:r>
          </w:p>
        </w:tc>
        <w:tc>
          <w:tcPr>
            <w:tcW w:w="1275" w:type="dxa"/>
            <w:noWrap w:val="0"/>
            <w:vAlign w:val="center"/>
          </w:tcPr>
          <w:p w14:paraId="14ED140E">
            <w:pPr>
              <w:jc w:val="center"/>
              <w:rPr>
                <w:rFonts w:hint="default" w:ascii="Times New Roman" w:hAnsi="Times New Roman" w:cs="Times New Roman"/>
                <w:kern w:val="0"/>
                <w:szCs w:val="21"/>
              </w:rPr>
            </w:pPr>
            <w:r>
              <w:rPr>
                <w:rFonts w:hint="default" w:ascii="Times New Roman" w:hAnsi="Times New Roman" w:cs="Times New Roman"/>
                <w:kern w:val="0"/>
                <w:szCs w:val="21"/>
              </w:rPr>
              <w:t>耐久性试验和热试验</w:t>
            </w:r>
          </w:p>
        </w:tc>
        <w:tc>
          <w:tcPr>
            <w:tcW w:w="2580" w:type="dxa"/>
            <w:noWrap w:val="0"/>
            <w:vAlign w:val="center"/>
          </w:tcPr>
          <w:p w14:paraId="5B1EDE23">
            <w:pPr>
              <w:jc w:val="center"/>
              <w:rPr>
                <w:rFonts w:hint="default" w:ascii="Times New Roman" w:hAnsi="Times New Roman" w:cs="Times New Roman"/>
                <w:kern w:val="0"/>
                <w:szCs w:val="21"/>
              </w:rPr>
            </w:pPr>
            <w:r>
              <w:rPr>
                <w:rFonts w:hint="default" w:ascii="Times New Roman" w:hAnsi="Times New Roman" w:cs="Times New Roman"/>
                <w:kern w:val="0"/>
                <w:szCs w:val="21"/>
              </w:rPr>
              <w:t>耐久性试验</w:t>
            </w:r>
          </w:p>
        </w:tc>
        <w:tc>
          <w:tcPr>
            <w:tcW w:w="2221" w:type="dxa"/>
            <w:noWrap w:val="0"/>
            <w:vAlign w:val="center"/>
          </w:tcPr>
          <w:p w14:paraId="122AA36B">
            <w:pPr>
              <w:snapToGrid w:val="0"/>
              <w:jc w:val="center"/>
              <w:rPr>
                <w:rFonts w:hint="default" w:ascii="Times New Roman" w:hAnsi="Times New Roman" w:cs="Times New Roman"/>
                <w:szCs w:val="21"/>
              </w:rPr>
            </w:pPr>
            <w:r>
              <w:rPr>
                <w:rFonts w:hint="default" w:ascii="Times New Roman" w:hAnsi="Times New Roman" w:cs="Times New Roman"/>
                <w:szCs w:val="21"/>
              </w:rPr>
              <w:t>GB/T 7000.1—2023</w:t>
            </w:r>
          </w:p>
          <w:p w14:paraId="7C1C1F35">
            <w:pPr>
              <w:snapToGrid w:val="0"/>
              <w:jc w:val="center"/>
              <w:rPr>
                <w:rFonts w:hint="default" w:ascii="Times New Roman" w:hAnsi="Times New Roman" w:cs="Times New Roman"/>
                <w:szCs w:val="21"/>
              </w:rPr>
            </w:pPr>
            <w:r>
              <w:rPr>
                <w:rFonts w:hint="default" w:ascii="Times New Roman" w:hAnsi="Times New Roman" w:cs="Times New Roman"/>
                <w:szCs w:val="21"/>
              </w:rPr>
              <w:t>GB/T 7000.204—2023</w:t>
            </w:r>
          </w:p>
        </w:tc>
        <w:tc>
          <w:tcPr>
            <w:tcW w:w="2162" w:type="dxa"/>
            <w:noWrap w:val="0"/>
            <w:vAlign w:val="center"/>
          </w:tcPr>
          <w:p w14:paraId="0C77AFEB">
            <w:pPr>
              <w:snapToGrid w:val="0"/>
              <w:jc w:val="center"/>
              <w:rPr>
                <w:rFonts w:hint="default" w:ascii="Times New Roman" w:hAnsi="Times New Roman" w:cs="Times New Roman"/>
                <w:szCs w:val="21"/>
              </w:rPr>
            </w:pPr>
            <w:r>
              <w:rPr>
                <w:rFonts w:hint="default" w:ascii="Times New Roman" w:hAnsi="Times New Roman" w:cs="Times New Roman"/>
                <w:szCs w:val="21"/>
              </w:rPr>
              <w:t>GB/T 7000.1—2023</w:t>
            </w:r>
          </w:p>
          <w:p w14:paraId="0DF8E486">
            <w:pPr>
              <w:snapToGrid w:val="0"/>
              <w:jc w:val="center"/>
              <w:rPr>
                <w:rFonts w:hint="default" w:ascii="Times New Roman" w:hAnsi="Times New Roman" w:cs="Times New Roman"/>
                <w:szCs w:val="21"/>
              </w:rPr>
            </w:pPr>
            <w:r>
              <w:rPr>
                <w:rFonts w:hint="default" w:ascii="Times New Roman" w:hAnsi="Times New Roman" w:cs="Times New Roman"/>
                <w:szCs w:val="21"/>
              </w:rPr>
              <w:t>GB/T 7000.204—2023</w:t>
            </w:r>
          </w:p>
        </w:tc>
      </w:tr>
      <w:tr w14:paraId="5B280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791" w:type="dxa"/>
            <w:vMerge w:val="restart"/>
            <w:noWrap w:val="0"/>
            <w:vAlign w:val="center"/>
          </w:tcPr>
          <w:p w14:paraId="3A4C1747">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5</w:t>
            </w:r>
          </w:p>
        </w:tc>
        <w:tc>
          <w:tcPr>
            <w:tcW w:w="1275" w:type="dxa"/>
            <w:vMerge w:val="restart"/>
            <w:noWrap w:val="0"/>
            <w:vAlign w:val="center"/>
          </w:tcPr>
          <w:p w14:paraId="1CE3A7DA">
            <w:pPr>
              <w:jc w:val="center"/>
              <w:rPr>
                <w:rFonts w:hint="default" w:ascii="Times New Roman" w:hAnsi="Times New Roman" w:cs="Times New Roman"/>
                <w:kern w:val="0"/>
                <w:szCs w:val="21"/>
              </w:rPr>
            </w:pPr>
            <w:r>
              <w:rPr>
                <w:rFonts w:hint="default" w:ascii="Times New Roman" w:hAnsi="Times New Roman" w:cs="Times New Roman"/>
                <w:kern w:val="0"/>
                <w:szCs w:val="21"/>
              </w:rPr>
              <w:t>耐热、耐火和耐起痕</w:t>
            </w:r>
          </w:p>
        </w:tc>
        <w:tc>
          <w:tcPr>
            <w:tcW w:w="2580" w:type="dxa"/>
            <w:noWrap w:val="0"/>
            <w:vAlign w:val="center"/>
          </w:tcPr>
          <w:p w14:paraId="28D3DF57">
            <w:pPr>
              <w:jc w:val="center"/>
              <w:rPr>
                <w:rFonts w:hint="default" w:ascii="Times New Roman" w:hAnsi="Times New Roman" w:cs="Times New Roman"/>
                <w:kern w:val="0"/>
                <w:szCs w:val="21"/>
              </w:rPr>
            </w:pPr>
            <w:r>
              <w:rPr>
                <w:rFonts w:hint="default" w:ascii="Times New Roman" w:hAnsi="Times New Roman" w:cs="Times New Roman"/>
                <w:kern w:val="0"/>
                <w:szCs w:val="21"/>
              </w:rPr>
              <w:t>耐热</w:t>
            </w:r>
          </w:p>
        </w:tc>
        <w:tc>
          <w:tcPr>
            <w:tcW w:w="2221" w:type="dxa"/>
            <w:vMerge w:val="restart"/>
            <w:noWrap w:val="0"/>
            <w:vAlign w:val="center"/>
          </w:tcPr>
          <w:p w14:paraId="24572BD4">
            <w:pPr>
              <w:snapToGrid w:val="0"/>
              <w:jc w:val="center"/>
              <w:rPr>
                <w:rFonts w:hint="default" w:ascii="Times New Roman" w:hAnsi="Times New Roman" w:cs="Times New Roman"/>
                <w:szCs w:val="21"/>
              </w:rPr>
            </w:pPr>
            <w:r>
              <w:rPr>
                <w:rFonts w:hint="default" w:ascii="Times New Roman" w:hAnsi="Times New Roman" w:cs="Times New Roman"/>
                <w:szCs w:val="21"/>
              </w:rPr>
              <w:t>GB/T 7000.1—2023</w:t>
            </w:r>
          </w:p>
          <w:p w14:paraId="529604EC">
            <w:pPr>
              <w:snapToGrid w:val="0"/>
              <w:jc w:val="center"/>
              <w:rPr>
                <w:rFonts w:hint="default" w:ascii="Times New Roman" w:hAnsi="Times New Roman" w:cs="Times New Roman"/>
                <w:szCs w:val="21"/>
              </w:rPr>
            </w:pPr>
            <w:r>
              <w:rPr>
                <w:rFonts w:hint="default" w:ascii="Times New Roman" w:hAnsi="Times New Roman" w:cs="Times New Roman"/>
                <w:szCs w:val="21"/>
              </w:rPr>
              <w:t>GB/T 7000.204—2023</w:t>
            </w:r>
          </w:p>
        </w:tc>
        <w:tc>
          <w:tcPr>
            <w:tcW w:w="2162" w:type="dxa"/>
            <w:vMerge w:val="restart"/>
            <w:noWrap w:val="0"/>
            <w:vAlign w:val="center"/>
          </w:tcPr>
          <w:p w14:paraId="146FBA31">
            <w:pPr>
              <w:snapToGrid w:val="0"/>
              <w:jc w:val="center"/>
              <w:rPr>
                <w:rFonts w:hint="default" w:ascii="Times New Roman" w:hAnsi="Times New Roman" w:cs="Times New Roman"/>
                <w:szCs w:val="21"/>
              </w:rPr>
            </w:pPr>
            <w:r>
              <w:rPr>
                <w:rFonts w:hint="default" w:ascii="Times New Roman" w:hAnsi="Times New Roman" w:cs="Times New Roman"/>
                <w:szCs w:val="21"/>
              </w:rPr>
              <w:t>GB/T 7000.1—2023</w:t>
            </w:r>
          </w:p>
          <w:p w14:paraId="25332472">
            <w:pPr>
              <w:snapToGrid w:val="0"/>
              <w:jc w:val="center"/>
              <w:rPr>
                <w:rFonts w:hint="default" w:ascii="Times New Roman" w:hAnsi="Times New Roman" w:cs="Times New Roman"/>
                <w:szCs w:val="21"/>
              </w:rPr>
            </w:pPr>
            <w:r>
              <w:rPr>
                <w:rFonts w:hint="default" w:ascii="Times New Roman" w:hAnsi="Times New Roman" w:cs="Times New Roman"/>
                <w:szCs w:val="21"/>
              </w:rPr>
              <w:t>GB/T 7000.204—2023</w:t>
            </w:r>
          </w:p>
        </w:tc>
      </w:tr>
      <w:tr w14:paraId="2F8F5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791" w:type="dxa"/>
            <w:vMerge w:val="continue"/>
            <w:noWrap w:val="0"/>
            <w:vAlign w:val="center"/>
          </w:tcPr>
          <w:p w14:paraId="373E2DF0">
            <w:pPr>
              <w:snapToGrid w:val="0"/>
              <w:jc w:val="center"/>
              <w:rPr>
                <w:rFonts w:hint="default" w:ascii="Times New Roman" w:hAnsi="Times New Roman" w:cs="Times New Roman"/>
                <w:color w:val="000000"/>
                <w:szCs w:val="21"/>
              </w:rPr>
            </w:pPr>
          </w:p>
        </w:tc>
        <w:tc>
          <w:tcPr>
            <w:tcW w:w="1275" w:type="dxa"/>
            <w:vMerge w:val="continue"/>
            <w:noWrap w:val="0"/>
            <w:vAlign w:val="center"/>
          </w:tcPr>
          <w:p w14:paraId="31DFCA59">
            <w:pPr>
              <w:jc w:val="center"/>
              <w:rPr>
                <w:rFonts w:hint="default" w:ascii="Times New Roman" w:hAnsi="Times New Roman" w:cs="Times New Roman"/>
                <w:kern w:val="0"/>
                <w:szCs w:val="21"/>
              </w:rPr>
            </w:pPr>
          </w:p>
        </w:tc>
        <w:tc>
          <w:tcPr>
            <w:tcW w:w="2580" w:type="dxa"/>
            <w:noWrap w:val="0"/>
            <w:vAlign w:val="center"/>
          </w:tcPr>
          <w:p w14:paraId="74975D9A">
            <w:pPr>
              <w:jc w:val="center"/>
              <w:rPr>
                <w:rFonts w:hint="default" w:ascii="Times New Roman" w:hAnsi="Times New Roman" w:cs="Times New Roman"/>
                <w:kern w:val="0"/>
                <w:szCs w:val="21"/>
              </w:rPr>
            </w:pPr>
            <w:r>
              <w:rPr>
                <w:rFonts w:hint="default" w:ascii="Times New Roman" w:hAnsi="Times New Roman" w:cs="Times New Roman"/>
                <w:kern w:val="0"/>
                <w:szCs w:val="21"/>
              </w:rPr>
              <w:t>耐燃烧和防引燃</w:t>
            </w:r>
          </w:p>
        </w:tc>
        <w:tc>
          <w:tcPr>
            <w:tcW w:w="2221" w:type="dxa"/>
            <w:vMerge w:val="continue"/>
            <w:noWrap w:val="0"/>
            <w:vAlign w:val="center"/>
          </w:tcPr>
          <w:p w14:paraId="08AA84E2">
            <w:pPr>
              <w:snapToGrid w:val="0"/>
              <w:jc w:val="center"/>
              <w:rPr>
                <w:rFonts w:hint="default" w:ascii="Times New Roman" w:hAnsi="Times New Roman" w:cs="Times New Roman"/>
                <w:szCs w:val="21"/>
              </w:rPr>
            </w:pPr>
          </w:p>
        </w:tc>
        <w:tc>
          <w:tcPr>
            <w:tcW w:w="2162" w:type="dxa"/>
            <w:vMerge w:val="continue"/>
            <w:noWrap w:val="0"/>
            <w:vAlign w:val="center"/>
          </w:tcPr>
          <w:p w14:paraId="5E04FF3C">
            <w:pPr>
              <w:snapToGrid w:val="0"/>
              <w:jc w:val="center"/>
              <w:rPr>
                <w:rFonts w:hint="default" w:ascii="Times New Roman" w:hAnsi="Times New Roman" w:cs="Times New Roman"/>
                <w:szCs w:val="21"/>
              </w:rPr>
            </w:pPr>
          </w:p>
        </w:tc>
      </w:tr>
      <w:tr w14:paraId="33282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791" w:type="dxa"/>
            <w:noWrap w:val="0"/>
            <w:vAlign w:val="center"/>
          </w:tcPr>
          <w:p w14:paraId="72202669">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6</w:t>
            </w:r>
          </w:p>
        </w:tc>
        <w:tc>
          <w:tcPr>
            <w:tcW w:w="3855" w:type="dxa"/>
            <w:gridSpan w:val="2"/>
            <w:noWrap w:val="0"/>
            <w:vAlign w:val="center"/>
          </w:tcPr>
          <w:p w14:paraId="5FFB8A06">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电源端子传导骚扰</w:t>
            </w:r>
          </w:p>
        </w:tc>
        <w:tc>
          <w:tcPr>
            <w:tcW w:w="2221" w:type="dxa"/>
            <w:noWrap w:val="0"/>
            <w:vAlign w:val="center"/>
          </w:tcPr>
          <w:p w14:paraId="183951A9">
            <w:pPr>
              <w:snapToGrid w:val="0"/>
              <w:jc w:val="center"/>
              <w:rPr>
                <w:rFonts w:hint="default" w:ascii="Times New Roman" w:hAnsi="Times New Roman" w:cs="Times New Roman"/>
                <w:szCs w:val="21"/>
              </w:rPr>
            </w:pPr>
            <w:r>
              <w:rPr>
                <w:rFonts w:hint="default" w:ascii="Times New Roman" w:hAnsi="Times New Roman" w:cs="Times New Roman"/>
                <w:szCs w:val="21"/>
              </w:rPr>
              <w:t>GB/T 17743—2021</w:t>
            </w:r>
          </w:p>
        </w:tc>
        <w:tc>
          <w:tcPr>
            <w:tcW w:w="2162" w:type="dxa"/>
            <w:noWrap w:val="0"/>
            <w:vAlign w:val="center"/>
          </w:tcPr>
          <w:p w14:paraId="6FCB3948">
            <w:pPr>
              <w:snapToGrid w:val="0"/>
              <w:jc w:val="center"/>
              <w:rPr>
                <w:rFonts w:hint="default" w:ascii="Times New Roman" w:hAnsi="Times New Roman" w:cs="Times New Roman"/>
                <w:szCs w:val="21"/>
              </w:rPr>
            </w:pPr>
            <w:r>
              <w:rPr>
                <w:rFonts w:hint="default" w:ascii="Times New Roman" w:hAnsi="Times New Roman" w:cs="Times New Roman"/>
                <w:szCs w:val="21"/>
              </w:rPr>
              <w:t>GB/T 17743—2021</w:t>
            </w:r>
          </w:p>
        </w:tc>
      </w:tr>
      <w:tr w14:paraId="2FA67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791" w:type="dxa"/>
            <w:noWrap w:val="0"/>
            <w:vAlign w:val="center"/>
          </w:tcPr>
          <w:p w14:paraId="062082C8">
            <w:pPr>
              <w:snapToGrid w:val="0"/>
              <w:jc w:val="center"/>
              <w:rPr>
                <w:rFonts w:hint="default" w:ascii="Times New Roman" w:hAnsi="Times New Roman" w:cs="Times New Roman"/>
                <w:color w:val="000000"/>
                <w:szCs w:val="21"/>
                <w:lang w:val="en-US" w:eastAsia="zh-CN"/>
              </w:rPr>
            </w:pPr>
            <w:r>
              <w:rPr>
                <w:rFonts w:hint="default" w:ascii="Times New Roman" w:hAnsi="Times New Roman" w:cs="Times New Roman"/>
                <w:color w:val="000000"/>
                <w:szCs w:val="21"/>
                <w:lang w:val="en-US" w:eastAsia="zh-CN"/>
              </w:rPr>
              <w:t>7</w:t>
            </w:r>
          </w:p>
        </w:tc>
        <w:tc>
          <w:tcPr>
            <w:tcW w:w="3855" w:type="dxa"/>
            <w:gridSpan w:val="2"/>
            <w:noWrap w:val="0"/>
            <w:vAlign w:val="center"/>
          </w:tcPr>
          <w:p w14:paraId="38953D5D">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辐射骚扰（30MHz~1GHz）</w:t>
            </w:r>
          </w:p>
        </w:tc>
        <w:tc>
          <w:tcPr>
            <w:tcW w:w="2221" w:type="dxa"/>
            <w:noWrap w:val="0"/>
            <w:vAlign w:val="center"/>
          </w:tcPr>
          <w:p w14:paraId="47313462">
            <w:pPr>
              <w:snapToGrid w:val="0"/>
              <w:jc w:val="center"/>
              <w:rPr>
                <w:rFonts w:hint="default" w:ascii="Times New Roman" w:hAnsi="Times New Roman" w:cs="Times New Roman"/>
                <w:szCs w:val="21"/>
              </w:rPr>
            </w:pPr>
            <w:r>
              <w:rPr>
                <w:rFonts w:hint="default" w:ascii="Times New Roman" w:hAnsi="Times New Roman" w:cs="Times New Roman"/>
                <w:szCs w:val="21"/>
              </w:rPr>
              <w:t>GB/T 17743—2021</w:t>
            </w:r>
          </w:p>
        </w:tc>
        <w:tc>
          <w:tcPr>
            <w:tcW w:w="2162" w:type="dxa"/>
            <w:noWrap w:val="0"/>
            <w:vAlign w:val="center"/>
          </w:tcPr>
          <w:p w14:paraId="347B8C3A">
            <w:pPr>
              <w:snapToGrid w:val="0"/>
              <w:jc w:val="center"/>
              <w:rPr>
                <w:rFonts w:hint="default" w:ascii="Times New Roman" w:hAnsi="Times New Roman" w:cs="Times New Roman"/>
                <w:szCs w:val="21"/>
              </w:rPr>
            </w:pPr>
            <w:r>
              <w:rPr>
                <w:rFonts w:hint="default" w:ascii="Times New Roman" w:hAnsi="Times New Roman" w:cs="Times New Roman"/>
                <w:szCs w:val="21"/>
              </w:rPr>
              <w:t>GB/T 17743—2021</w:t>
            </w:r>
          </w:p>
        </w:tc>
      </w:tr>
      <w:tr w14:paraId="574D6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791" w:type="dxa"/>
            <w:noWrap w:val="0"/>
            <w:vAlign w:val="center"/>
          </w:tcPr>
          <w:p w14:paraId="5764C7CB">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lang w:val="en-US" w:eastAsia="zh-CN"/>
              </w:rPr>
              <w:t>8</w:t>
            </w:r>
          </w:p>
        </w:tc>
        <w:tc>
          <w:tcPr>
            <w:tcW w:w="3855" w:type="dxa"/>
            <w:gridSpan w:val="2"/>
            <w:noWrap w:val="0"/>
            <w:vAlign w:val="center"/>
          </w:tcPr>
          <w:p w14:paraId="663D2E27">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谐波电流</w:t>
            </w:r>
          </w:p>
        </w:tc>
        <w:tc>
          <w:tcPr>
            <w:tcW w:w="2221" w:type="dxa"/>
            <w:noWrap w:val="0"/>
            <w:vAlign w:val="center"/>
          </w:tcPr>
          <w:p w14:paraId="57A5A3BF">
            <w:pPr>
              <w:snapToGrid w:val="0"/>
              <w:jc w:val="center"/>
              <w:rPr>
                <w:rFonts w:hint="default" w:ascii="Times New Roman" w:hAnsi="Times New Roman" w:cs="Times New Roman"/>
                <w:szCs w:val="21"/>
              </w:rPr>
            </w:pPr>
            <w:r>
              <w:rPr>
                <w:rFonts w:hint="default" w:ascii="Times New Roman" w:hAnsi="Times New Roman" w:cs="Times New Roman"/>
                <w:szCs w:val="21"/>
              </w:rPr>
              <w:t>GB 17625.1—2022</w:t>
            </w:r>
          </w:p>
        </w:tc>
        <w:tc>
          <w:tcPr>
            <w:tcW w:w="2162" w:type="dxa"/>
            <w:noWrap w:val="0"/>
            <w:vAlign w:val="center"/>
          </w:tcPr>
          <w:p w14:paraId="3397A000">
            <w:pPr>
              <w:snapToGrid w:val="0"/>
              <w:jc w:val="center"/>
              <w:rPr>
                <w:rFonts w:hint="default" w:ascii="Times New Roman" w:hAnsi="Times New Roman" w:cs="Times New Roman"/>
                <w:szCs w:val="21"/>
              </w:rPr>
            </w:pPr>
            <w:r>
              <w:rPr>
                <w:rFonts w:hint="default" w:ascii="Times New Roman" w:hAnsi="Times New Roman" w:cs="Times New Roman"/>
                <w:szCs w:val="21"/>
              </w:rPr>
              <w:t>GB 17625.1—2022</w:t>
            </w:r>
          </w:p>
        </w:tc>
      </w:tr>
      <w:tr w14:paraId="4914D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791" w:type="dxa"/>
            <w:noWrap w:val="0"/>
            <w:vAlign w:val="center"/>
          </w:tcPr>
          <w:p w14:paraId="272D95E8">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lang w:val="en-US" w:eastAsia="zh-CN"/>
              </w:rPr>
              <w:t>9</w:t>
            </w:r>
          </w:p>
        </w:tc>
        <w:tc>
          <w:tcPr>
            <w:tcW w:w="3855" w:type="dxa"/>
            <w:gridSpan w:val="2"/>
            <w:noWrap w:val="0"/>
            <w:vAlign w:val="center"/>
          </w:tcPr>
          <w:p w14:paraId="4693FCE5">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显色指数（Ra、R9）</w:t>
            </w:r>
          </w:p>
        </w:tc>
        <w:tc>
          <w:tcPr>
            <w:tcW w:w="2221" w:type="dxa"/>
            <w:noWrap w:val="0"/>
            <w:vAlign w:val="center"/>
          </w:tcPr>
          <w:p w14:paraId="2321E584">
            <w:pPr>
              <w:snapToGrid w:val="0"/>
              <w:jc w:val="center"/>
              <w:rPr>
                <w:rFonts w:hint="default" w:ascii="Times New Roman" w:hAnsi="Times New Roman" w:cs="Times New Roman"/>
                <w:szCs w:val="21"/>
              </w:rPr>
            </w:pPr>
            <w:r>
              <w:rPr>
                <w:rFonts w:hint="default" w:ascii="Times New Roman" w:hAnsi="Times New Roman" w:cs="Times New Roman"/>
                <w:szCs w:val="21"/>
              </w:rPr>
              <w:t>GB 40070—2021</w:t>
            </w:r>
          </w:p>
        </w:tc>
        <w:tc>
          <w:tcPr>
            <w:tcW w:w="2162" w:type="dxa"/>
            <w:noWrap w:val="0"/>
            <w:vAlign w:val="center"/>
          </w:tcPr>
          <w:p w14:paraId="5A249773">
            <w:pPr>
              <w:snapToGrid w:val="0"/>
              <w:jc w:val="center"/>
              <w:rPr>
                <w:rFonts w:hint="default" w:ascii="Times New Roman" w:hAnsi="Times New Roman" w:cs="Times New Roman"/>
                <w:szCs w:val="21"/>
              </w:rPr>
            </w:pPr>
            <w:r>
              <w:rPr>
                <w:rFonts w:hint="default" w:ascii="Times New Roman" w:hAnsi="Times New Roman" w:cs="Times New Roman"/>
                <w:szCs w:val="21"/>
              </w:rPr>
              <w:t>GB 40070—2021</w:t>
            </w:r>
          </w:p>
        </w:tc>
      </w:tr>
      <w:tr w14:paraId="34C24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90" w:hRule="atLeast"/>
          <w:jc w:val="center"/>
        </w:trPr>
        <w:tc>
          <w:tcPr>
            <w:tcW w:w="791" w:type="dxa"/>
            <w:noWrap w:val="0"/>
            <w:vAlign w:val="center"/>
          </w:tcPr>
          <w:p w14:paraId="6BEA07F5">
            <w:pPr>
              <w:snapToGrid w:val="0"/>
              <w:jc w:val="center"/>
              <w:rPr>
                <w:rFonts w:hint="default" w:ascii="Times New Roman" w:hAnsi="Times New Roman" w:cs="Times New Roman"/>
                <w:color w:val="000000"/>
                <w:szCs w:val="21"/>
                <w:lang w:val="en-US" w:eastAsia="zh-CN"/>
              </w:rPr>
            </w:pPr>
            <w:r>
              <w:rPr>
                <w:rFonts w:hint="default" w:ascii="Times New Roman" w:hAnsi="Times New Roman" w:cs="Times New Roman"/>
                <w:color w:val="000000"/>
                <w:szCs w:val="21"/>
                <w:lang w:val="en-US" w:eastAsia="zh-CN"/>
              </w:rPr>
              <w:t>10</w:t>
            </w:r>
          </w:p>
        </w:tc>
        <w:tc>
          <w:tcPr>
            <w:tcW w:w="3855" w:type="dxa"/>
            <w:gridSpan w:val="2"/>
            <w:noWrap w:val="0"/>
            <w:vAlign w:val="center"/>
          </w:tcPr>
          <w:p w14:paraId="4063E653">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视网膜蓝光危害</w:t>
            </w:r>
          </w:p>
        </w:tc>
        <w:tc>
          <w:tcPr>
            <w:tcW w:w="2221" w:type="dxa"/>
            <w:noWrap w:val="0"/>
            <w:vAlign w:val="center"/>
          </w:tcPr>
          <w:p w14:paraId="52E5F602">
            <w:pPr>
              <w:snapToGrid w:val="0"/>
              <w:jc w:val="center"/>
              <w:rPr>
                <w:rFonts w:hint="default" w:ascii="Times New Roman" w:hAnsi="Times New Roman" w:cs="Times New Roman"/>
                <w:szCs w:val="21"/>
              </w:rPr>
            </w:pPr>
            <w:r>
              <w:rPr>
                <w:rFonts w:hint="default" w:ascii="Times New Roman" w:hAnsi="Times New Roman" w:cs="Times New Roman"/>
                <w:szCs w:val="21"/>
              </w:rPr>
              <w:t>GB 40070—2021</w:t>
            </w:r>
          </w:p>
        </w:tc>
        <w:tc>
          <w:tcPr>
            <w:tcW w:w="2162" w:type="dxa"/>
            <w:noWrap w:val="0"/>
            <w:vAlign w:val="center"/>
          </w:tcPr>
          <w:p w14:paraId="3724FF25">
            <w:pPr>
              <w:snapToGrid w:val="0"/>
              <w:jc w:val="center"/>
              <w:rPr>
                <w:rFonts w:hint="default" w:ascii="Times New Roman" w:hAnsi="Times New Roman" w:cs="Times New Roman"/>
                <w:szCs w:val="21"/>
                <w:lang w:val="en-US" w:eastAsia="zh-CN"/>
              </w:rPr>
            </w:pPr>
            <w:r>
              <w:rPr>
                <w:rFonts w:hint="default" w:ascii="Times New Roman" w:hAnsi="Times New Roman" w:cs="Times New Roman"/>
                <w:szCs w:val="21"/>
              </w:rPr>
              <w:t>GB 40070—2021</w:t>
            </w:r>
          </w:p>
        </w:tc>
      </w:tr>
      <w:tr w14:paraId="63CC7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90" w:hRule="atLeast"/>
          <w:jc w:val="center"/>
        </w:trPr>
        <w:tc>
          <w:tcPr>
            <w:tcW w:w="791" w:type="dxa"/>
            <w:shd w:val="clear" w:color="auto" w:fill="auto"/>
            <w:noWrap w:val="0"/>
            <w:vAlign w:val="center"/>
          </w:tcPr>
          <w:p w14:paraId="5F3FD3A3">
            <w:pPr>
              <w:snapToGrid w:val="0"/>
              <w:jc w:val="center"/>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color w:val="000000"/>
                <w:szCs w:val="21"/>
                <w:lang w:val="en-US" w:eastAsia="zh-CN"/>
              </w:rPr>
              <w:t>11</w:t>
            </w:r>
          </w:p>
        </w:tc>
        <w:tc>
          <w:tcPr>
            <w:tcW w:w="3855" w:type="dxa"/>
            <w:gridSpan w:val="2"/>
            <w:noWrap w:val="0"/>
            <w:vAlign w:val="center"/>
          </w:tcPr>
          <w:p w14:paraId="4444A5D8">
            <w:pPr>
              <w:snapToGrid w:val="0"/>
              <w:jc w:val="center"/>
              <w:rPr>
                <w:rFonts w:hint="default" w:ascii="Times New Roman" w:hAnsi="Times New Roman" w:cs="Times New Roman" w:eastAsiaTheme="minorEastAsia"/>
                <w:kern w:val="0"/>
                <w:szCs w:val="21"/>
                <w:lang w:val="en-US" w:eastAsia="zh-CN"/>
              </w:rPr>
            </w:pPr>
            <w:r>
              <w:rPr>
                <w:rFonts w:hint="default" w:ascii="Times New Roman" w:hAnsi="Times New Roman" w:cs="Times New Roman"/>
                <w:kern w:val="0"/>
                <w:szCs w:val="21"/>
                <w:lang w:val="en-US" w:eastAsia="zh-CN"/>
              </w:rPr>
              <w:t>波动深度</w:t>
            </w:r>
          </w:p>
        </w:tc>
        <w:tc>
          <w:tcPr>
            <w:tcW w:w="2221" w:type="dxa"/>
            <w:shd w:val="clear" w:color="auto" w:fill="auto"/>
            <w:noWrap w:val="0"/>
            <w:vAlign w:val="center"/>
          </w:tcPr>
          <w:p w14:paraId="2FBD09E2">
            <w:pPr>
              <w:snapToGrid w:val="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GB 40070—2021</w:t>
            </w:r>
          </w:p>
        </w:tc>
        <w:tc>
          <w:tcPr>
            <w:tcW w:w="2162" w:type="dxa"/>
            <w:shd w:val="clear" w:color="auto" w:fill="auto"/>
            <w:noWrap w:val="0"/>
            <w:vAlign w:val="center"/>
          </w:tcPr>
          <w:p w14:paraId="7202B15C">
            <w:pPr>
              <w:snapToGrid w:val="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GB 40070—2021</w:t>
            </w:r>
          </w:p>
        </w:tc>
      </w:tr>
      <w:tr w14:paraId="291A0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791" w:type="dxa"/>
            <w:shd w:val="clear" w:color="auto" w:fill="auto"/>
            <w:noWrap w:val="0"/>
            <w:vAlign w:val="center"/>
          </w:tcPr>
          <w:p w14:paraId="1EF6E838">
            <w:pPr>
              <w:snapToGrid w:val="0"/>
              <w:jc w:val="center"/>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color w:val="000000"/>
                <w:szCs w:val="21"/>
                <w:lang w:val="en-US" w:eastAsia="zh-CN"/>
              </w:rPr>
              <w:t>12</w:t>
            </w:r>
          </w:p>
        </w:tc>
        <w:tc>
          <w:tcPr>
            <w:tcW w:w="3855" w:type="dxa"/>
            <w:gridSpan w:val="2"/>
            <w:shd w:val="clear" w:color="auto" w:fill="auto"/>
            <w:noWrap w:val="0"/>
            <w:vAlign w:val="center"/>
          </w:tcPr>
          <w:p w14:paraId="7BFA5418">
            <w:pPr>
              <w:snapToGrid w:val="0"/>
              <w:jc w:val="center"/>
              <w:rPr>
                <w:rFonts w:hint="default" w:ascii="Times New Roman" w:hAnsi="Times New Roman" w:cs="Times New Roman" w:eastAsiaTheme="minorEastAsia"/>
                <w:kern w:val="0"/>
                <w:sz w:val="21"/>
                <w:szCs w:val="21"/>
                <w:lang w:val="en-US" w:eastAsia="zh-CN" w:bidi="ar-SA"/>
              </w:rPr>
            </w:pPr>
            <w:r>
              <w:rPr>
                <w:rFonts w:hint="default" w:ascii="Times New Roman" w:hAnsi="Times New Roman" w:cs="Times New Roman"/>
                <w:kern w:val="0"/>
                <w:szCs w:val="21"/>
              </w:rPr>
              <w:t>遮光性</w:t>
            </w:r>
          </w:p>
        </w:tc>
        <w:tc>
          <w:tcPr>
            <w:tcW w:w="2221" w:type="dxa"/>
            <w:shd w:val="clear" w:color="auto" w:fill="auto"/>
            <w:noWrap w:val="0"/>
            <w:vAlign w:val="center"/>
          </w:tcPr>
          <w:p w14:paraId="3D765FD1">
            <w:pPr>
              <w:snapToGrid w:val="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GB/T 9473—2022</w:t>
            </w:r>
          </w:p>
        </w:tc>
        <w:tc>
          <w:tcPr>
            <w:tcW w:w="2162" w:type="dxa"/>
            <w:shd w:val="clear" w:color="auto" w:fill="auto"/>
            <w:noWrap w:val="0"/>
            <w:vAlign w:val="center"/>
          </w:tcPr>
          <w:p w14:paraId="3AAF0E30">
            <w:pPr>
              <w:snapToGrid w:val="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GB/T 9473—2022</w:t>
            </w:r>
          </w:p>
        </w:tc>
      </w:tr>
      <w:tr w14:paraId="165A8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791" w:type="dxa"/>
            <w:noWrap w:val="0"/>
            <w:vAlign w:val="center"/>
          </w:tcPr>
          <w:p w14:paraId="1158868D">
            <w:pPr>
              <w:snapToGrid w:val="0"/>
              <w:jc w:val="center"/>
              <w:rPr>
                <w:rFonts w:hint="default" w:ascii="Times New Roman" w:hAnsi="Times New Roman" w:cs="Times New Roman" w:eastAsiaTheme="minorEastAsia"/>
                <w:color w:val="000000"/>
                <w:szCs w:val="21"/>
                <w:lang w:val="en-US" w:eastAsia="zh-CN"/>
              </w:rPr>
            </w:pPr>
            <w:r>
              <w:rPr>
                <w:rFonts w:hint="default" w:ascii="Times New Roman" w:hAnsi="Times New Roman" w:cs="Times New Roman"/>
                <w:color w:val="000000"/>
                <w:szCs w:val="21"/>
                <w:lang w:val="en-US" w:eastAsia="zh-CN"/>
              </w:rPr>
              <w:t>13</w:t>
            </w:r>
          </w:p>
        </w:tc>
        <w:tc>
          <w:tcPr>
            <w:tcW w:w="3855" w:type="dxa"/>
            <w:gridSpan w:val="2"/>
            <w:shd w:val="clear" w:color="auto" w:fill="auto"/>
            <w:noWrap w:val="0"/>
            <w:vAlign w:val="center"/>
          </w:tcPr>
          <w:p w14:paraId="10A843A5">
            <w:pPr>
              <w:snapToGrid w:val="0"/>
              <w:jc w:val="center"/>
              <w:rPr>
                <w:rFonts w:hint="default" w:ascii="Times New Roman" w:hAnsi="Times New Roman" w:cs="Times New Roman" w:eastAsiaTheme="minorEastAsia"/>
                <w:kern w:val="0"/>
                <w:sz w:val="21"/>
                <w:szCs w:val="21"/>
                <w:lang w:val="en-US" w:eastAsia="zh-CN" w:bidi="ar-SA"/>
              </w:rPr>
            </w:pPr>
            <w:r>
              <w:rPr>
                <w:rFonts w:hint="default" w:ascii="Times New Roman" w:hAnsi="Times New Roman" w:cs="Times New Roman"/>
                <w:kern w:val="0"/>
                <w:szCs w:val="21"/>
              </w:rPr>
              <w:t>照度及照度均匀度</w:t>
            </w:r>
          </w:p>
        </w:tc>
        <w:tc>
          <w:tcPr>
            <w:tcW w:w="2221" w:type="dxa"/>
            <w:shd w:val="clear" w:color="auto" w:fill="auto"/>
            <w:noWrap w:val="0"/>
            <w:vAlign w:val="center"/>
          </w:tcPr>
          <w:p w14:paraId="53956973">
            <w:pPr>
              <w:snapToGrid w:val="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GB/T 9473—2022</w:t>
            </w:r>
          </w:p>
        </w:tc>
        <w:tc>
          <w:tcPr>
            <w:tcW w:w="2162" w:type="dxa"/>
            <w:shd w:val="clear" w:color="auto" w:fill="auto"/>
            <w:noWrap w:val="0"/>
            <w:vAlign w:val="center"/>
          </w:tcPr>
          <w:p w14:paraId="677E0C4E">
            <w:pPr>
              <w:snapToGrid w:val="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GB/T 9473—2022</w:t>
            </w:r>
          </w:p>
        </w:tc>
      </w:tr>
    </w:tbl>
    <w:p w14:paraId="29E11A7B">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79ADC8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5A86E44E">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1F1CD165">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1CC12896">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4508790C">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52B49DC0">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GB/T 7000.1—2023 灯具 第1部分：一般要求与试验</w:t>
      </w:r>
    </w:p>
    <w:p w14:paraId="1C7C17F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GB/T 7000.204—2023灯具 第2-4部分：特殊要求 可移式通用灯具</w:t>
      </w:r>
    </w:p>
    <w:p w14:paraId="6DA8F8F0">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lang w:val="en-US" w:eastAsia="zh-CN"/>
        </w:rPr>
      </w:pPr>
      <w:r>
        <w:rPr>
          <w:rFonts w:hint="default" w:ascii="Times New Roman" w:hAnsi="Times New Roman" w:eastAsia="宋体" w:cs="Times New Roman"/>
          <w:sz w:val="22"/>
          <w:szCs w:val="28"/>
        </w:rPr>
        <w:t>GB/T 9473—2022</w:t>
      </w:r>
      <w:r>
        <w:rPr>
          <w:rFonts w:hint="default" w:ascii="Times New Roman" w:hAnsi="Times New Roman" w:eastAsia="宋体" w:cs="Times New Roman"/>
          <w:sz w:val="22"/>
          <w:szCs w:val="28"/>
          <w:lang w:val="en-US" w:eastAsia="zh-CN"/>
        </w:rPr>
        <w:t>读写作业台灯性能要求</w:t>
      </w:r>
    </w:p>
    <w:p w14:paraId="2029C49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 40070—2021 儿童青少年学习用品近视防控卫生要求</w:t>
      </w:r>
    </w:p>
    <w:p w14:paraId="17F83183">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 17625.1—2022 电磁兼容 限值 第1部分：谐波电流发射限值(设备每相输入电流≤16A）</w:t>
      </w:r>
    </w:p>
    <w:p w14:paraId="5184C44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GB/T 17743—2021 电气照明和类似设备的无线电骚扰特性的限值和测量方法</w:t>
      </w:r>
    </w:p>
    <w:p w14:paraId="7B0D639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5FC76CB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5F7A16E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37D2BE6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706F4FD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44837DE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3A8EB75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07CF107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76A5A8B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71AB0DA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81B41">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B0DA0">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4B0DA0">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326DE"/>
    <w:rsid w:val="01C81CD2"/>
    <w:rsid w:val="01CC605C"/>
    <w:rsid w:val="02551A35"/>
    <w:rsid w:val="036455F8"/>
    <w:rsid w:val="036839EA"/>
    <w:rsid w:val="06E03F13"/>
    <w:rsid w:val="070E6657"/>
    <w:rsid w:val="0CD143AE"/>
    <w:rsid w:val="0D017508"/>
    <w:rsid w:val="0D343503"/>
    <w:rsid w:val="13144FF5"/>
    <w:rsid w:val="149E7B87"/>
    <w:rsid w:val="156C55BC"/>
    <w:rsid w:val="1B065B6B"/>
    <w:rsid w:val="1E7B23CC"/>
    <w:rsid w:val="1EFA20E5"/>
    <w:rsid w:val="222A1341"/>
    <w:rsid w:val="29643DD1"/>
    <w:rsid w:val="29B570DA"/>
    <w:rsid w:val="2B4863B8"/>
    <w:rsid w:val="2B830B12"/>
    <w:rsid w:val="2E5977D4"/>
    <w:rsid w:val="2E8C4181"/>
    <w:rsid w:val="2ED81174"/>
    <w:rsid w:val="31B9703B"/>
    <w:rsid w:val="38A81BB8"/>
    <w:rsid w:val="3C5043A5"/>
    <w:rsid w:val="3D4D275B"/>
    <w:rsid w:val="3E0F5B7A"/>
    <w:rsid w:val="408E5B37"/>
    <w:rsid w:val="42C54070"/>
    <w:rsid w:val="43081BD1"/>
    <w:rsid w:val="439E0D9F"/>
    <w:rsid w:val="44512568"/>
    <w:rsid w:val="46050649"/>
    <w:rsid w:val="46F26E20"/>
    <w:rsid w:val="470C0994"/>
    <w:rsid w:val="48797678"/>
    <w:rsid w:val="4C6D02BD"/>
    <w:rsid w:val="4E227B86"/>
    <w:rsid w:val="4E30022D"/>
    <w:rsid w:val="4E3A2F69"/>
    <w:rsid w:val="523C53F3"/>
    <w:rsid w:val="534D3EB1"/>
    <w:rsid w:val="58705DF6"/>
    <w:rsid w:val="592E4311"/>
    <w:rsid w:val="59C31C15"/>
    <w:rsid w:val="5B177556"/>
    <w:rsid w:val="63AC7EFE"/>
    <w:rsid w:val="649B4036"/>
    <w:rsid w:val="66BB548C"/>
    <w:rsid w:val="66F127F8"/>
    <w:rsid w:val="6864524C"/>
    <w:rsid w:val="68932257"/>
    <w:rsid w:val="6E79418D"/>
    <w:rsid w:val="6FD607DD"/>
    <w:rsid w:val="6FF46EB5"/>
    <w:rsid w:val="71BA4C42"/>
    <w:rsid w:val="737C0D9D"/>
    <w:rsid w:val="73C038EC"/>
    <w:rsid w:val="74422159"/>
    <w:rsid w:val="74BA0C65"/>
    <w:rsid w:val="77062301"/>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921</Words>
  <Characters>1477</Characters>
  <Lines>0</Lines>
  <Paragraphs>0</Paragraphs>
  <TotalTime>1</TotalTime>
  <ScaleCrop>false</ScaleCrop>
  <LinksUpToDate>false</LinksUpToDate>
  <CharactersWithSpaces>1533</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2026-07-06T02:43:35Z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7F910F8F8D0645BEB65C430140BA0050_13</vt:lpwstr>
  </property>
  <property fmtid="{D5CDD505-2E9C-101B-9397-08002B2CF9AE}" pid="4" name="KSOTemplateDocerSaveRecord">
    <vt:lpwstr>eyJoZGlkIjoiYjU4YTEyOWI0YTA1NzExMDUyM2E4NzRjZjM1MmQ2OWEiLCJ1c2VySWQiOiIxMTI2NTcyODI0In0=</vt:lpwstr>
  </property>
</Properties>
</file>